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b/>
          <w:sz w:val="44"/>
          <w:szCs w:val="44"/>
          <w:lang w:val="en-US" w:eastAsia="zh-CN"/>
        </w:rPr>
      </w:pPr>
      <w:r>
        <w:rPr>
          <w:rFonts w:hint="eastAsia" w:ascii="宋体" w:hAnsi="宋体"/>
          <w:b/>
          <w:sz w:val="44"/>
          <w:szCs w:val="44"/>
          <w:lang w:val="en-US" w:eastAsia="zh-CN"/>
        </w:rPr>
        <w:t>2023年投资公司政府专项债券资金</w:t>
      </w:r>
    </w:p>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b/>
          <w:sz w:val="44"/>
          <w:szCs w:val="44"/>
        </w:rPr>
      </w:pPr>
      <w:r>
        <w:rPr>
          <w:rFonts w:hint="eastAsia" w:ascii="宋体" w:hAnsi="宋体"/>
          <w:b/>
          <w:sz w:val="44"/>
          <w:szCs w:val="44"/>
        </w:rPr>
        <w:t>绩效评价报告</w:t>
      </w:r>
    </w:p>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cs="Arial"/>
          <w:b/>
          <w:bCs/>
          <w:sz w:val="44"/>
          <w:szCs w:val="44"/>
        </w:rPr>
      </w:pP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黑体" w:hAnsi="黑体" w:eastAsia="黑体"/>
          <w:b/>
          <w:bCs/>
          <w:sz w:val="32"/>
          <w:szCs w:val="32"/>
        </w:rPr>
      </w:pPr>
      <w:r>
        <w:rPr>
          <w:rFonts w:hint="eastAsia" w:ascii="黑体" w:hAnsi="黑体" w:eastAsia="黑体"/>
          <w:b/>
          <w:bCs/>
          <w:sz w:val="32"/>
          <w:szCs w:val="32"/>
        </w:rPr>
        <w:t>一、基本情况</w:t>
      </w:r>
    </w:p>
    <w:p>
      <w:pPr>
        <w:pageBreakBefore w:val="0"/>
        <w:kinsoku/>
        <w:wordWrap/>
        <w:overflowPunct/>
        <w:topLinePunct w:val="0"/>
        <w:autoSpaceDE/>
        <w:autoSpaceDN/>
        <w:bidi w:val="0"/>
        <w:adjustRightInd/>
        <w:snapToGrid/>
        <w:spacing w:line="520" w:lineRule="exact"/>
        <w:ind w:right="0" w:rightChars="0"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（一）项目概况。</w:t>
      </w:r>
    </w:p>
    <w:p>
      <w:pPr>
        <w:pageBreakBefore w:val="0"/>
        <w:kinsoku/>
        <w:wordWrap/>
        <w:overflowPunct/>
        <w:topLinePunct w:val="0"/>
        <w:autoSpaceDE/>
        <w:autoSpaceDN/>
        <w:bidi w:val="0"/>
        <w:adjustRightInd/>
        <w:snapToGrid/>
        <w:spacing w:line="520" w:lineRule="exact"/>
        <w:ind w:right="0" w:rightChars="0" w:firstLine="643" w:firstLineChars="200"/>
        <w:outlineLvl w:val="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1.项目背景、主要内容及实施情况</w:t>
      </w:r>
    </w:p>
    <w:p>
      <w:pPr>
        <w:pStyle w:val="2"/>
        <w:pageBreakBefore w:val="0"/>
        <w:kinsoku/>
        <w:wordWrap/>
        <w:overflowPunct/>
        <w:topLinePunct w:val="0"/>
        <w:autoSpaceDE/>
        <w:autoSpaceDN/>
        <w:bidi w:val="0"/>
        <w:adjustRightInd/>
        <w:snapToGrid/>
        <w:spacing w:line="520" w:lineRule="exact"/>
        <w:ind w:right="0" w:rightChars="0"/>
        <w:rPr>
          <w:rFonts w:hint="default" w:ascii="仿宋_GB2312" w:hAnsi="仿宋_GB2312" w:eastAsia="仿宋_GB2312" w:cs="仿宋_GB2312"/>
          <w:b w:val="0"/>
          <w:color w:val="000000"/>
          <w:kern w:val="2"/>
          <w:sz w:val="32"/>
          <w:szCs w:val="32"/>
          <w:lang w:val="en-US" w:eastAsia="zh-CN" w:bidi="ar-SA"/>
        </w:rPr>
      </w:pPr>
      <w:r>
        <w:rPr>
          <w:rFonts w:hint="eastAsia" w:ascii="仿宋" w:hAnsi="仿宋" w:eastAsia="仿宋"/>
          <w:b/>
          <w:bCs/>
          <w:sz w:val="32"/>
          <w:szCs w:val="32"/>
          <w:lang w:val="en-US" w:eastAsia="zh-CN"/>
        </w:rPr>
        <w:t xml:space="preserve">     </w:t>
      </w:r>
      <w:r>
        <w:rPr>
          <w:rFonts w:hint="eastAsia" w:ascii="仿宋_GB2312" w:hAnsi="仿宋_GB2312" w:eastAsia="仿宋_GB2312" w:cs="仿宋_GB2312"/>
          <w:b w:val="0"/>
          <w:color w:val="000000"/>
          <w:kern w:val="2"/>
          <w:sz w:val="32"/>
          <w:szCs w:val="32"/>
          <w:lang w:val="en-US" w:eastAsia="zh-CN" w:bidi="ar-SA"/>
        </w:rPr>
        <w:t>根据《昌都市财政局关于下达2023年新增政府专项债券资金（八期、十期）预算指标的通知》（昌财债指﹝2023﹞5号）文件，将16500万元拨付市投资公司，用于偿还昌都市投资公司尚噶小区城中村改造工程存量政府投资项目。</w:t>
      </w:r>
    </w:p>
    <w:p>
      <w:pPr>
        <w:pageBreakBefore w:val="0"/>
        <w:numPr>
          <w:ilvl w:val="0"/>
          <w:numId w:val="0"/>
        </w:numPr>
        <w:kinsoku/>
        <w:wordWrap/>
        <w:overflowPunct/>
        <w:topLinePunct w:val="0"/>
        <w:autoSpaceDE/>
        <w:autoSpaceDN/>
        <w:bidi w:val="0"/>
        <w:adjustRightInd/>
        <w:snapToGrid/>
        <w:spacing w:line="520" w:lineRule="exact"/>
        <w:ind w:right="0" w:rightChars="0"/>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2.资金来源及到位情况</w:t>
      </w:r>
    </w:p>
    <w:p>
      <w:pPr>
        <w:pageBreakBefore w:val="0"/>
        <w:numPr>
          <w:ilvl w:val="0"/>
          <w:numId w:val="0"/>
        </w:numPr>
        <w:kinsoku/>
        <w:wordWrap/>
        <w:overflowPunct/>
        <w:topLinePunct w:val="0"/>
        <w:autoSpaceDE/>
        <w:autoSpaceDN/>
        <w:bidi w:val="0"/>
        <w:adjustRightInd/>
        <w:snapToGrid/>
        <w:spacing w:line="520" w:lineRule="exact"/>
        <w:ind w:right="0" w:rightChars="0" w:firstLine="640"/>
        <w:outlineLvl w:val="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资金来源为</w:t>
      </w:r>
      <w:r>
        <w:rPr>
          <w:rFonts w:hint="eastAsia" w:ascii="仿宋_GB2312" w:eastAsia="仿宋_GB2312"/>
          <w:sz w:val="32"/>
          <w:szCs w:val="32"/>
        </w:rPr>
        <w:t>全额财政拨款</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lang w:val="en-US" w:eastAsia="zh-CN"/>
        </w:rPr>
        <w:t>项目到位资金16500万元。</w:t>
      </w:r>
    </w:p>
    <w:p>
      <w:pPr>
        <w:pageBreakBefore w:val="0"/>
        <w:numPr>
          <w:ilvl w:val="0"/>
          <w:numId w:val="1"/>
        </w:numPr>
        <w:kinsoku/>
        <w:wordWrap/>
        <w:overflowPunct/>
        <w:topLinePunct w:val="0"/>
        <w:autoSpaceDE/>
        <w:autoSpaceDN/>
        <w:bidi w:val="0"/>
        <w:adjustRightInd/>
        <w:snapToGrid/>
        <w:spacing w:line="520" w:lineRule="exact"/>
        <w:ind w:right="0" w:rightChars="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rPr>
        <w:t>项目绩效目标</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用于偿还昌都市投资公司尚噶小区城中村改造工程存量政府投资项目。</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（一）绩效评价目的、对象和范围。</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1.绩效评价的目的</w:t>
      </w:r>
    </w:p>
    <w:p>
      <w:pPr>
        <w:pageBreakBefore w:val="0"/>
        <w:kinsoku/>
        <w:wordWrap/>
        <w:overflowPunct/>
        <w:topLinePunct w:val="0"/>
        <w:autoSpaceDE/>
        <w:autoSpaceDN/>
        <w:bidi w:val="0"/>
        <w:adjustRightInd/>
        <w:snapToGrid/>
        <w:spacing w:line="520" w:lineRule="exact"/>
        <w:ind w:right="0" w:rightChars="0" w:firstLine="640" w:firstLineChars="200"/>
        <w:rPr>
          <w:rFonts w:hint="default"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运用科学、规范、合理的评价方法、评价指标和评分标准，对市级财政资金（以市级财政下达资金为主向其他资金延伸）的分配、管理、使用、产出及效果等进行客观、公正的测量、分析和评判，评价绩效水平，发现存在问题，并分析问题成因，提出进一步加强资金管理的意见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right="0" w:rightChars="0" w:firstLine="643" w:firstLineChars="200"/>
        <w:jc w:val="left"/>
        <w:rPr>
          <w:rFonts w:ascii="仿宋_GB2312" w:hAnsi="仿宋_GB2312" w:eastAsia="仿宋_GB2312" w:cs="仿宋_GB2312"/>
          <w:b/>
          <w:bCs/>
          <w:color w:val="000000"/>
          <w:kern w:val="0"/>
          <w:sz w:val="31"/>
          <w:szCs w:val="31"/>
          <w:lang w:val="en-US" w:eastAsia="zh-CN" w:bidi="ar"/>
        </w:rPr>
      </w:pPr>
      <w:r>
        <w:rPr>
          <w:rFonts w:hint="eastAsia" w:ascii="仿宋" w:hAnsi="仿宋" w:eastAsia="仿宋" w:cs="Times New Roman"/>
          <w:b/>
          <w:bCs/>
          <w:kern w:val="2"/>
          <w:sz w:val="32"/>
          <w:szCs w:val="32"/>
          <w:lang w:val="en-US" w:eastAsia="zh-CN" w:bidi="ar-SA"/>
        </w:rPr>
        <w:t>2.绩效评价的对象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right="0" w:rightChars="0" w:firstLine="620" w:firstLineChars="200"/>
        <w:jc w:val="left"/>
        <w:rPr>
          <w:rFonts w:hint="eastAsia" w:ascii="仿宋" w:hAnsi="仿宋" w:eastAsia="仿宋" w:cs="Times New Roman"/>
          <w:b w:val="0"/>
          <w:kern w:val="2"/>
          <w:sz w:val="32"/>
          <w:szCs w:val="32"/>
          <w:lang w:val="en-US" w:eastAsia="zh-CN" w:bidi="ar-SA"/>
        </w:rPr>
      </w:pPr>
      <w:r>
        <w:rPr>
          <w:rFonts w:ascii="仿宋_GB2312" w:hAnsi="仿宋_GB2312" w:eastAsia="仿宋_GB2312" w:cs="仿宋_GB2312"/>
          <w:color w:val="000000"/>
          <w:kern w:val="0"/>
          <w:sz w:val="31"/>
          <w:szCs w:val="31"/>
          <w:lang w:val="en-US" w:eastAsia="zh-CN" w:bidi="ar"/>
        </w:rPr>
        <w:t>202</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年通过财政局</w:t>
      </w:r>
      <w:r>
        <w:rPr>
          <w:rFonts w:hint="eastAsia" w:ascii="仿宋_GB2312" w:hAnsi="仿宋_GB2312" w:eastAsia="仿宋_GB2312" w:cs="仿宋_GB2312"/>
          <w:color w:val="000000"/>
          <w:kern w:val="0"/>
          <w:sz w:val="31"/>
          <w:szCs w:val="31"/>
          <w:lang w:val="en-US" w:eastAsia="zh-CN" w:bidi="ar"/>
        </w:rPr>
        <w:t>专项债券</w:t>
      </w:r>
      <w:r>
        <w:rPr>
          <w:rFonts w:ascii="仿宋_GB2312" w:hAnsi="仿宋_GB2312" w:eastAsia="仿宋_GB2312" w:cs="仿宋_GB2312"/>
          <w:color w:val="000000"/>
          <w:kern w:val="0"/>
          <w:sz w:val="31"/>
          <w:szCs w:val="31"/>
          <w:lang w:val="en-US" w:eastAsia="zh-CN" w:bidi="ar"/>
        </w:rPr>
        <w:t>安排</w:t>
      </w:r>
      <w:r>
        <w:rPr>
          <w:rFonts w:hint="eastAsia" w:ascii="仿宋_GB2312" w:hAnsi="仿宋_GB2312" w:eastAsia="仿宋_GB2312" w:cs="仿宋_GB2312"/>
          <w:color w:val="000000"/>
          <w:kern w:val="0"/>
          <w:sz w:val="31"/>
          <w:szCs w:val="31"/>
          <w:lang w:val="en-US" w:eastAsia="zh-CN" w:bidi="ar"/>
        </w:rPr>
        <w:t>16500万元给市投资公司</w:t>
      </w:r>
      <w:r>
        <w:rPr>
          <w:rFonts w:hint="eastAsia" w:ascii="仿宋_GB2312" w:hAnsi="仿宋_GB2312" w:eastAsia="仿宋_GB2312" w:cs="仿宋_GB2312"/>
          <w:b w:val="0"/>
          <w:color w:val="000000"/>
          <w:kern w:val="2"/>
          <w:sz w:val="32"/>
          <w:szCs w:val="32"/>
          <w:lang w:val="en-US" w:eastAsia="zh-CN" w:bidi="ar-SA"/>
        </w:rPr>
        <w:t>偿还昌都市投资公司尚噶小区城中村改造工程存量政府投资项目，并</w:t>
      </w:r>
      <w:r>
        <w:rPr>
          <w:rFonts w:ascii="仿宋_GB2312" w:hAnsi="仿宋_GB2312" w:eastAsia="仿宋_GB2312" w:cs="仿宋_GB2312"/>
          <w:color w:val="000000"/>
          <w:kern w:val="0"/>
          <w:sz w:val="31"/>
          <w:szCs w:val="31"/>
          <w:lang w:val="en-US" w:eastAsia="zh-CN" w:bidi="ar"/>
        </w:rPr>
        <w:t>开展绩效自评</w:t>
      </w:r>
      <w:r>
        <w:rPr>
          <w:rFonts w:hint="eastAsia" w:ascii="仿宋" w:hAnsi="仿宋" w:eastAsia="仿宋" w:cs="Times New Roman"/>
          <w:b w:val="0"/>
          <w:kern w:val="2"/>
          <w:sz w:val="32"/>
          <w:szCs w:val="32"/>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200" w:right="0" w:rightChars="0"/>
        <w:jc w:val="left"/>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 xml:space="preserve"> </w:t>
      </w:r>
      <w:r>
        <w:rPr>
          <w:rFonts w:hint="eastAsia" w:ascii="仿宋" w:hAnsi="仿宋" w:eastAsia="仿宋" w:cs="Times New Roman"/>
          <w:b/>
          <w:bCs/>
          <w:kern w:val="2"/>
          <w:sz w:val="32"/>
          <w:szCs w:val="32"/>
          <w:lang w:val="en-US" w:eastAsia="zh-CN" w:bidi="ar-SA"/>
        </w:rPr>
        <w:t>3.绩效评价的范围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right="0" w:rightChars="0" w:firstLine="620" w:firstLineChars="200"/>
        <w:jc w:val="left"/>
        <w:rPr>
          <w:rFonts w:hint="default"/>
          <w:lang w:val="en-US" w:eastAsia="zh-CN"/>
        </w:rPr>
      </w:pPr>
      <w:r>
        <w:rPr>
          <w:rFonts w:ascii="仿宋_GB2312" w:hAnsi="仿宋_GB2312" w:eastAsia="仿宋_GB2312" w:cs="仿宋_GB2312"/>
          <w:color w:val="000000"/>
          <w:kern w:val="0"/>
          <w:sz w:val="31"/>
          <w:szCs w:val="31"/>
          <w:lang w:val="en-US" w:eastAsia="zh-CN" w:bidi="ar"/>
        </w:rPr>
        <w:t>项目决策情况，资金管理和使用情况</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相关管理制度办法的健全性及执行情况，本行业领域绩效指标和标准体系建设情况，项目总体绩效目标、各项绩效指标完成情况以及其他相关内容</w:t>
      </w:r>
      <w:r>
        <w:rPr>
          <w:rFonts w:hint="eastAsia" w:ascii="仿宋_GB2312" w:hAnsi="仿宋_GB2312" w:eastAsia="仿宋_GB2312" w:cs="仿宋_GB2312"/>
          <w:color w:val="000000"/>
          <w:kern w:val="0"/>
          <w:sz w:val="31"/>
          <w:szCs w:val="31"/>
          <w:lang w:val="en-US" w:eastAsia="zh-CN" w:bidi="ar"/>
        </w:rPr>
        <w:t>。</w:t>
      </w:r>
    </w:p>
    <w:p>
      <w:pPr>
        <w:pageBreakBefore w:val="0"/>
        <w:numPr>
          <w:ilvl w:val="0"/>
          <w:numId w:val="0"/>
        </w:numPr>
        <w:kinsoku/>
        <w:wordWrap/>
        <w:overflowPunct/>
        <w:topLinePunct w:val="0"/>
        <w:autoSpaceDE/>
        <w:autoSpaceDN/>
        <w:bidi w:val="0"/>
        <w:adjustRightInd/>
        <w:snapToGrid/>
        <w:spacing w:line="520" w:lineRule="exact"/>
        <w:ind w:right="0" w:rightChars="0" w:firstLine="321" w:firstLineChars="1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绩效评价原则、评价指标体系（附表说明）、评价方法、评价标准等。</w:t>
      </w:r>
    </w:p>
    <w:p>
      <w:pPr>
        <w:pStyle w:val="6"/>
        <w:pageBreakBefore w:val="0"/>
        <w:numPr>
          <w:ilvl w:val="0"/>
          <w:numId w:val="0"/>
        </w:numPr>
        <w:kinsoku/>
        <w:wordWrap/>
        <w:overflowPunct/>
        <w:topLinePunct w:val="0"/>
        <w:autoSpaceDE/>
        <w:autoSpaceDN/>
        <w:bidi w:val="0"/>
        <w:adjustRightInd/>
        <w:snapToGrid/>
        <w:spacing w:after="0" w:line="520" w:lineRule="exact"/>
        <w:ind w:left="640" w:leftChars="0" w:right="0" w:rightChars="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1.绩效评价原则</w:t>
      </w:r>
    </w:p>
    <w:p>
      <w:pPr>
        <w:pStyle w:val="6"/>
        <w:pageBreakBefore w:val="0"/>
        <w:numPr>
          <w:ilvl w:val="0"/>
          <w:numId w:val="0"/>
        </w:numPr>
        <w:kinsoku/>
        <w:wordWrap/>
        <w:overflowPunct/>
        <w:topLinePunct w:val="0"/>
        <w:autoSpaceDE/>
        <w:autoSpaceDN/>
        <w:bidi w:val="0"/>
        <w:adjustRightInd/>
        <w:snapToGrid/>
        <w:spacing w:after="0" w:line="520" w:lineRule="exact"/>
        <w:ind w:right="0" w:righ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（1）科学公正。绩效评价应当运用科学合理的方法，按照规范的程序，对项目绩效进行客观、公正的反映。 </w:t>
      </w:r>
    </w:p>
    <w:p>
      <w:pPr>
        <w:pageBreakBefore w:val="0"/>
        <w:numPr>
          <w:ilvl w:val="0"/>
          <w:numId w:val="0"/>
        </w:numPr>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（2）统筹兼顾。单位自评应职责明确，各有侧重，相互衔接。单位自评应由项目单位自主实施，即“谁支出、谁自评”。  </w:t>
      </w:r>
    </w:p>
    <w:p>
      <w:pPr>
        <w:pageBreakBefore w:val="0"/>
        <w:numPr>
          <w:ilvl w:val="0"/>
          <w:numId w:val="0"/>
        </w:numPr>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（3）激励约束。绩效评价结果应与预算安排、政策调整、改进管理实质性挂钩，体现奖优罚劣和激励相容导向，有效要安排、低效要压减、无效要问责。  </w:t>
      </w:r>
    </w:p>
    <w:p>
      <w:pPr>
        <w:pageBreakBefore w:val="0"/>
        <w:numPr>
          <w:ilvl w:val="0"/>
          <w:numId w:val="0"/>
        </w:numPr>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（4）公开透明。绩效评价结果应依法依规公开，并自觉接受社会监督。  </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2.评价指标体系、评价方法、评价标准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2023年项目支出绩效评价指标体系设置项目决策情况、项目过程情况、项目产出情况、项目效益情况4个一级指标。</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项目决策情况设置绩效目标、预算编制2个二级指标；项目目标设置绩效目标合理性和绩效目标完成率2个三级指标；预算编制设置预算编制合理性、预算编制合规性2个三级指标。</w:t>
      </w:r>
    </w:p>
    <w:p>
      <w:pPr>
        <w:pageBreakBefore w:val="0"/>
        <w:kinsoku/>
        <w:wordWrap/>
        <w:overflowPunct/>
        <w:topLinePunct w:val="0"/>
        <w:autoSpaceDE/>
        <w:autoSpaceDN/>
        <w:bidi w:val="0"/>
        <w:adjustRightInd/>
        <w:snapToGrid/>
        <w:spacing w:line="520" w:lineRule="exact"/>
        <w:ind w:right="0" w:rightChars="0"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项目过程情况设置项目管理、项目资金管理目标值2个二级指标。项目管理设置项目实施程序合规性、项目监管到位性2个三级指标；项目资金管理设置预算资金支出率、预算资金到位率2个三级指标。</w:t>
      </w:r>
    </w:p>
    <w:p>
      <w:pPr>
        <w:pStyle w:val="6"/>
        <w:pageBreakBefore w:val="0"/>
        <w:kinsoku/>
        <w:wordWrap/>
        <w:overflowPunct/>
        <w:topLinePunct w:val="0"/>
        <w:autoSpaceDE/>
        <w:autoSpaceDN/>
        <w:bidi w:val="0"/>
        <w:adjustRightInd/>
        <w:snapToGrid/>
        <w:spacing w:after="0" w:line="520" w:lineRule="exact"/>
        <w:ind w:left="0" w:leftChars="0" w:right="0" w:rightChars="0"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项目产出情况设置项目数量指标、项目时效指标、项目质量指标、项目成本指标4个二级指标。</w:t>
      </w:r>
    </w:p>
    <w:p>
      <w:pPr>
        <w:pStyle w:val="6"/>
        <w:pageBreakBefore w:val="0"/>
        <w:kinsoku/>
        <w:wordWrap/>
        <w:overflowPunct/>
        <w:topLinePunct w:val="0"/>
        <w:autoSpaceDE/>
        <w:autoSpaceDN/>
        <w:bidi w:val="0"/>
        <w:adjustRightInd/>
        <w:snapToGrid/>
        <w:spacing w:after="0" w:line="520" w:lineRule="exact"/>
        <w:ind w:left="0" w:leftChars="0" w:right="0" w:rightChars="0"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项目效益指标设置经济效益指标、社会效益指标2个二级指标。</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2.评价方法</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此次评价运用了比较法、因素分析法、调查问卷法。主要采取整体评价和抽样评价相结合，现场评价和非现场评价相结合，全面评价与重点评价相结合的方式。</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3.评价标准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（1）项目绩效目标合理性</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考核部门（单位）所设立的项目目标是否依据充分，是否符合客观实际，用以反映和评价部门（单位）设立的绩效目标与部门履职和年度工作任务的相符性。项目目标能体现部门（单位）“三定”方案规定的部门职能的、体现部门（单位）中长期规划和年度工作计划的、能分解成具体工作任务的、与本年度部门预算资金相匹配的、部门申报的项目有进行可行性研究和充分论证的等方面表现比较好的得3分；表现一般得1-2分；表现较差不得分。</w:t>
      </w:r>
    </w:p>
    <w:p>
      <w:pPr>
        <w:pageBreakBefore w:val="0"/>
        <w:numPr>
          <w:ilvl w:val="0"/>
          <w:numId w:val="2"/>
        </w:numPr>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绩效目标完成率</w:t>
      </w:r>
    </w:p>
    <w:p>
      <w:pPr>
        <w:pageBreakBefore w:val="0"/>
        <w:numPr>
          <w:ilvl w:val="0"/>
          <w:numId w:val="0"/>
        </w:numPr>
        <w:kinsoku/>
        <w:wordWrap/>
        <w:overflowPunct/>
        <w:topLinePunct w:val="0"/>
        <w:autoSpaceDE/>
        <w:autoSpaceDN/>
        <w:bidi w:val="0"/>
        <w:adjustRightInd/>
        <w:snapToGrid/>
        <w:spacing w:line="520" w:lineRule="exact"/>
        <w:ind w:right="0" w:rightChars="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 xml:space="preserve">    考核部门（单位）依据整体绩效目标和项目所设定的绩效指标是否清晰、细化、可量化，用以反映和考核部门（单位）整体绩效和项目的目标明细化情况。绩效指标具有清晰、可衡量的指标值的、绩效指标包含可量化的指标的，绩效目标的目标值测算能提供相关依据或符合客观实际情况等方面比较较好得3分；表现一般得1-2分；表现较差不得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（3）预算编制合理性</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预算的合理性，即是否符合本部门职责、是否符合市委市政府的方针政策和工作要求，资金有无根据项目的轻重缓急进行分配。部门预算编制、分配符合本部门职责、符合市委市政府方针政策和工作要求、资金分配合理和细化、功能分类和经济分类准确等方面比较较好得3分；表现一般得1-2分；表现较差不得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（4）预算编制合规性</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上年结余资金是否纳入部门预算管理，考核部门是否按规定编制政府采购预算。上年结余资金全部纳入部门预算管理、有按规定编制采购预算等方面编制较好得3分；表现一般得1-2分；表现较差不得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（5）项目实施程序合规性</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考核部门（单位）所有项目支出实施过程是否规范,包括是否符合申报条件；申报、批复程序是否符合相关管理办法；项目招投标、调整、完成验收等是否履行相应手续等。</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项目的设立及调整按规定履行报批手续，项目招投标、建设、验收、方案实施严格执行相关制度规定等方面表现好的得3分；表现一般得1-2分；表现较差不得分。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（6）项目监管到位性</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考核部门（单位）对所实施项目（包括部门主管的专项资金和专项经费分配给区（县）实施的项目）和下属事业单位的检查、监控、督促、管理等情况。</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对实施项目和下属事业单位检查、监控、督促、管理等情况表现较好的得3分；表现一般的得1-2分；表现较差不得分。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（7）预算资金支出率</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考核部门（单位）预算执行管理情况。</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考核部门（单位）预算执行管理情况；预算支出率=100%，得3分；每低于5%，扣0.5分，扣完为止；预算支出率&gt;100%，不得分。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（8）预算资金到位率</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考核部门（单位）整体支出的预算资金到位情况。</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考核部门（单位）预算资金到位情况；预算资金到位率=100%，得3分；每低于5%，扣0.5分，扣完为止；预算资金到位率＜100%，不得分。</w:t>
      </w:r>
    </w:p>
    <w:p>
      <w:pPr>
        <w:pStyle w:val="6"/>
        <w:pageBreakBefore w:val="0"/>
        <w:numPr>
          <w:ilvl w:val="0"/>
          <w:numId w:val="3"/>
        </w:numPr>
        <w:kinsoku/>
        <w:wordWrap/>
        <w:overflowPunct/>
        <w:topLinePunct w:val="0"/>
        <w:autoSpaceDE/>
        <w:autoSpaceDN/>
        <w:bidi w:val="0"/>
        <w:adjustRightInd/>
        <w:snapToGrid/>
        <w:spacing w:after="0" w:line="520" w:lineRule="exact"/>
        <w:ind w:left="-10" w:leftChars="0" w:right="0" w:rightChars="0" w:firstLine="640" w:firstLineChars="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项目产出</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反映部门（单位）项目产出情况。</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kern w:val="2"/>
          <w:sz w:val="32"/>
          <w:szCs w:val="32"/>
          <w:lang w:val="en-US" w:eastAsia="zh-CN" w:bidi="ar-SA"/>
        </w:rPr>
        <w:t>根据部门（单位）项目产出数量、质量、时效、成本进行核定得分。项目产出情况</w:t>
      </w:r>
      <w:r>
        <w:rPr>
          <w:rFonts w:hint="eastAsia" w:ascii="仿宋" w:hAnsi="仿宋" w:eastAsia="仿宋" w:cs="Times New Roman"/>
          <w:b w:val="0"/>
          <w:kern w:val="2"/>
          <w:sz w:val="32"/>
          <w:szCs w:val="32"/>
          <w:lang w:val="en-US" w:eastAsia="zh-CN" w:bidi="ar-SA"/>
        </w:rPr>
        <w:t>分值56分。</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（10）项目效益</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反映部门（单位）履行职责对经济发展、社会发展所带来的直接或间接影响。</w:t>
      </w:r>
    </w:p>
    <w:p>
      <w:pPr>
        <w:pageBreakBefore w:val="0"/>
        <w:kinsoku/>
        <w:wordWrap/>
        <w:overflowPunct/>
        <w:topLinePunct w:val="0"/>
        <w:autoSpaceDE/>
        <w:autoSpaceDN/>
        <w:bidi w:val="0"/>
        <w:adjustRightInd/>
        <w:snapToGrid/>
        <w:spacing w:line="520" w:lineRule="exact"/>
        <w:ind w:right="0" w:rightChars="0" w:firstLine="640" w:firstLineChars="200"/>
        <w:rPr>
          <w:rFonts w:hint="default" w:ascii="仿宋" w:hAnsi="仿宋" w:eastAsia="仿宋" w:cs="Times New Roman"/>
          <w:b w:val="0"/>
          <w:kern w:val="2"/>
          <w:sz w:val="32"/>
          <w:szCs w:val="32"/>
          <w:lang w:val="en-US" w:eastAsia="zh-CN" w:bidi="ar-SA"/>
        </w:rPr>
      </w:pPr>
      <w:r>
        <w:rPr>
          <w:rFonts w:hint="eastAsia" w:ascii="仿宋" w:hAnsi="仿宋" w:eastAsia="仿宋" w:cs="Times New Roman"/>
          <w:kern w:val="2"/>
          <w:sz w:val="32"/>
          <w:szCs w:val="32"/>
          <w:lang w:val="en-US" w:eastAsia="zh-CN" w:bidi="ar-SA"/>
        </w:rPr>
        <w:t>根据部门（单位）“三定”方案确定的职责，实际并结合绩效目标设立情况，有选择地设置个性化绩效指标，且通过绩效指标完成情况与目标值对比分析，进行核定得分。分值20分。</w:t>
      </w:r>
    </w:p>
    <w:p>
      <w:pPr>
        <w:pageBreakBefore w:val="0"/>
        <w:numPr>
          <w:ilvl w:val="0"/>
          <w:numId w:val="1"/>
        </w:numPr>
        <w:kinsoku/>
        <w:wordWrap/>
        <w:overflowPunct/>
        <w:topLinePunct w:val="0"/>
        <w:autoSpaceDE/>
        <w:autoSpaceDN/>
        <w:bidi w:val="0"/>
        <w:adjustRightInd/>
        <w:snapToGrid/>
        <w:spacing w:line="520" w:lineRule="exact"/>
        <w:ind w:left="0" w:leftChars="0" w:right="0" w:righ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绩效评价工作过程。</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1.前期准备阶段</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一是成立绩效评价小组，确定评价人员及各自职责分工；二是收集与评价项目有关文件及相关资料，对预算项目和资金的具体情况进行调研，并制定初步绩效评价方案。</w:t>
      </w:r>
    </w:p>
    <w:p>
      <w:pPr>
        <w:pageBreakBefore w:val="0"/>
        <w:numPr>
          <w:ilvl w:val="0"/>
          <w:numId w:val="4"/>
        </w:numPr>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方案制定阶段</w:t>
      </w:r>
    </w:p>
    <w:p>
      <w:pPr>
        <w:pageBreakBefore w:val="0"/>
        <w:numPr>
          <w:ilvl w:val="0"/>
          <w:numId w:val="0"/>
        </w:numPr>
        <w:kinsoku/>
        <w:wordWrap/>
        <w:overflowPunct/>
        <w:topLinePunct w:val="0"/>
        <w:autoSpaceDE/>
        <w:autoSpaceDN/>
        <w:bidi w:val="0"/>
        <w:adjustRightInd/>
        <w:snapToGrid/>
        <w:spacing w:line="520" w:lineRule="exact"/>
        <w:ind w:right="0" w:right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    包括评价的依据、目的、范围、对象、方法、指标体系等，评价指标体系主要包括各级指标及权重、评分细则及标准等。</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3.组织实施阶段</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评价人员采用定量分析和定性分析相结合的方法，明确现场核查的重点内容，根据设定的评价指标体系分析与研判，得出整体评价结论。</w:t>
      </w:r>
    </w:p>
    <w:p>
      <w:pPr>
        <w:pageBreakBefore w:val="0"/>
        <w:kinsoku/>
        <w:wordWrap/>
        <w:overflowPunct/>
        <w:topLinePunct w:val="0"/>
        <w:autoSpaceDE/>
        <w:autoSpaceDN/>
        <w:bidi w:val="0"/>
        <w:adjustRightInd/>
        <w:snapToGrid/>
        <w:spacing w:line="520" w:lineRule="exact"/>
        <w:ind w:right="0" w:rightChars="0"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4.报告形成阶段</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rPr>
      </w:pPr>
      <w:r>
        <w:rPr>
          <w:rFonts w:hint="eastAsia" w:ascii="仿宋" w:hAnsi="仿宋" w:eastAsia="仿宋" w:cs="Times New Roman"/>
          <w:kern w:val="2"/>
          <w:sz w:val="32"/>
          <w:szCs w:val="32"/>
          <w:lang w:val="en-US" w:eastAsia="zh-CN" w:bidi="ar-SA"/>
        </w:rPr>
        <w:t>评价组按照绩效评价原则和规范对评价过程中收集资料进行归纳、分析、汇总，依据设定的绩效评价指标体系进行评分，并撰写绩效评价报告。</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三、综合评价情况及评价结论（附相关评分表）</w:t>
      </w:r>
    </w:p>
    <w:p>
      <w:pPr>
        <w:pageBreakBefore w:val="0"/>
        <w:kinsoku/>
        <w:wordWrap/>
        <w:overflowPunct/>
        <w:topLinePunct w:val="0"/>
        <w:autoSpaceDE/>
        <w:autoSpaceDN/>
        <w:bidi w:val="0"/>
        <w:adjustRightInd/>
        <w:snapToGrid/>
        <w:spacing w:line="520" w:lineRule="exact"/>
        <w:ind w:right="0" w:righ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绩效评价结果的评分与对应如下：90-100分对应为“优”；80-90分（不含90分）对应为“良”；60-80分（不含80分）对应为“中”；60分以下（不含60分），对应为“差”，西藏昌都市政府国资委投资公司综合服务交易市场城中村改造项目土地出让金绩效自评总分为100.00分，评级为“优”。具体如下：</w:t>
      </w:r>
    </w:p>
    <w:p>
      <w:pPr>
        <w:pStyle w:val="6"/>
        <w:pageBreakBefore w:val="0"/>
        <w:kinsoku/>
        <w:wordWrap/>
        <w:overflowPunct/>
        <w:topLinePunct w:val="0"/>
        <w:autoSpaceDE/>
        <w:autoSpaceDN/>
        <w:bidi w:val="0"/>
        <w:adjustRightInd/>
        <w:snapToGrid/>
        <w:spacing w:after="0" w:line="520" w:lineRule="exact"/>
        <w:ind w:left="0" w:leftChars="0" w:right="0" w:rightChars="0" w:firstLine="0" w:firstLine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   </w:t>
      </w:r>
    </w:p>
    <w:tbl>
      <w:tblPr>
        <w:tblStyle w:val="7"/>
        <w:tblW w:w="91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899"/>
        <w:gridCol w:w="936"/>
        <w:gridCol w:w="874"/>
        <w:gridCol w:w="898"/>
        <w:gridCol w:w="481"/>
        <w:gridCol w:w="848"/>
        <w:gridCol w:w="937"/>
        <w:gridCol w:w="874"/>
        <w:gridCol w:w="911"/>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76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政府专项债券资金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0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西藏昌都市</w:t>
            </w:r>
            <w:r>
              <w:rPr>
                <w:rFonts w:hint="eastAsia" w:ascii="宋体" w:hAnsi="宋体" w:cs="宋体"/>
                <w:i w:val="0"/>
                <w:iCs w:val="0"/>
                <w:color w:val="000000"/>
                <w:kern w:val="0"/>
                <w:sz w:val="18"/>
                <w:szCs w:val="18"/>
                <w:u w:val="none"/>
                <w:lang w:val="en-US" w:eastAsia="zh-CN" w:bidi="ar"/>
              </w:rPr>
              <w:t>政府国资委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rPr>
                <w:rFonts w:hint="eastAsia" w:ascii="宋体" w:hAnsi="宋体" w:eastAsia="宋体" w:cs="宋体"/>
                <w:i w:val="0"/>
                <w:iCs w:val="0"/>
                <w:color w:val="000000"/>
                <w:sz w:val="24"/>
                <w:szCs w:val="24"/>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rPr>
                <w:rFonts w:hint="eastAsia" w:ascii="宋体" w:hAnsi="宋体" w:eastAsia="宋体" w:cs="宋体"/>
                <w:i w:val="0"/>
                <w:iCs w:val="0"/>
                <w:color w:val="000000"/>
                <w:sz w:val="24"/>
                <w:szCs w:val="24"/>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9"/>
                <w:lang w:val="en-US" w:eastAsia="zh-CN" w:bidi="ar"/>
              </w:rPr>
              <w:t>上年结转资金</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rPr>
                <w:rFonts w:hint="eastAsia" w:ascii="宋体" w:hAnsi="宋体" w:eastAsia="宋体" w:cs="宋体"/>
                <w:i w:val="0"/>
                <w:iCs w:val="0"/>
                <w:color w:val="000000"/>
                <w:sz w:val="24"/>
                <w:szCs w:val="24"/>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9"/>
                <w:lang w:val="en-US" w:eastAsia="zh-CN" w:bidi="ar"/>
              </w:rPr>
              <w:t>其他资金</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9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49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偿还昌都市投资公司尚噶小区城中村改造工程存量政府投资项目。</w:t>
            </w:r>
          </w:p>
        </w:tc>
        <w:tc>
          <w:tcPr>
            <w:tcW w:w="3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完成年初目标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2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项目决策情况（12分）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指标1：项目目标合理性</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合理、充分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指标2：项目目标完成率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指标1：预算编制合理性</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合理、充分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指标2：预算编制合规性</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项目过程情况（12分）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指标1：项目实施程序合规性</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指标2：项目监管到位性</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监管到位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指标1：预算资金支出率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指标2：预算资金到位率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项目产出情况(56分)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r>
              <w:rPr>
                <w:rStyle w:val="9"/>
                <w:lang w:val="en-US" w:eastAsia="zh-CN" w:bidi="ar"/>
              </w:rPr>
              <w:t>拨付资金企业</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r>
              <w:rPr>
                <w:rFonts w:hint="eastAsia" w:ascii="宋体" w:hAnsi="宋体" w:cs="宋体"/>
                <w:i w:val="0"/>
                <w:iCs w:val="0"/>
                <w:color w:val="000000"/>
                <w:kern w:val="0"/>
                <w:sz w:val="18"/>
                <w:szCs w:val="18"/>
                <w:u w:val="none"/>
                <w:lang w:val="en-US" w:eastAsia="zh-CN" w:bidi="ar"/>
              </w:rPr>
              <w:t>拨付资金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=16500万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16500万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r>
              <w:rPr>
                <w:rFonts w:hint="eastAsia" w:ascii="宋体" w:hAnsi="宋体" w:cs="宋体"/>
                <w:i w:val="0"/>
                <w:iCs w:val="0"/>
                <w:color w:val="000000"/>
                <w:kern w:val="0"/>
                <w:sz w:val="18"/>
                <w:szCs w:val="18"/>
                <w:u w:val="none"/>
                <w:lang w:val="en-US" w:eastAsia="zh-CN" w:bidi="ar"/>
              </w:rPr>
              <w:t>解决企业问题</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有利</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有利</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r>
              <w:rPr>
                <w:rFonts w:hint="eastAsia" w:ascii="宋体" w:hAnsi="宋体" w:cs="宋体"/>
                <w:i w:val="0"/>
                <w:iCs w:val="0"/>
                <w:color w:val="000000"/>
                <w:kern w:val="0"/>
                <w:sz w:val="18"/>
                <w:szCs w:val="18"/>
                <w:u w:val="none"/>
                <w:lang w:val="en-US" w:eastAsia="zh-CN" w:bidi="ar"/>
              </w:rPr>
              <w:t>促进企业发展</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提升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提升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r>
              <w:rPr>
                <w:rFonts w:hint="eastAsia" w:ascii="宋体" w:hAnsi="宋体" w:cs="宋体"/>
                <w:i w:val="0"/>
                <w:iCs w:val="0"/>
                <w:color w:val="000000"/>
                <w:sz w:val="18"/>
                <w:szCs w:val="18"/>
                <w:u w:val="none"/>
                <w:lang w:val="en-US" w:eastAsia="zh-CN"/>
              </w:rPr>
              <w:t>解决问题完成率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r>
              <w:rPr>
                <w:rStyle w:val="9"/>
                <w:lang w:val="en-US" w:eastAsia="zh-CN" w:bidi="ar"/>
              </w:rPr>
              <w:t>资金拨付及时性</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r>
              <w:rPr>
                <w:rFonts w:hint="eastAsia" w:ascii="宋体" w:hAnsi="宋体" w:cs="宋体"/>
                <w:i w:val="0"/>
                <w:iCs w:val="0"/>
                <w:color w:val="000000"/>
                <w:sz w:val="18"/>
                <w:szCs w:val="18"/>
                <w:u w:val="none"/>
                <w:lang w:val="en-US" w:eastAsia="zh-CN"/>
              </w:rPr>
              <w:t>解决企业问题</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=16500</w:t>
            </w:r>
            <w:r>
              <w:rPr>
                <w:rFonts w:hint="eastAsia" w:ascii="宋体" w:hAnsi="宋体" w:eastAsia="宋体" w:cs="宋体"/>
                <w:i w:val="0"/>
                <w:iCs w:val="0"/>
                <w:color w:val="000000"/>
                <w:kern w:val="0"/>
                <w:sz w:val="18"/>
                <w:szCs w:val="18"/>
                <w:u w:val="none"/>
                <w:lang w:val="en-US" w:eastAsia="zh-CN" w:bidi="ar"/>
              </w:rPr>
              <w:t>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16500</w:t>
            </w:r>
            <w:r>
              <w:rPr>
                <w:rFonts w:hint="eastAsia" w:ascii="宋体" w:hAnsi="宋体" w:eastAsia="宋体" w:cs="宋体"/>
                <w:i w:val="0"/>
                <w:iCs w:val="0"/>
                <w:color w:val="000000"/>
                <w:kern w:val="0"/>
                <w:sz w:val="18"/>
                <w:szCs w:val="18"/>
                <w:u w:val="none"/>
                <w:lang w:val="en-US" w:eastAsia="zh-CN" w:bidi="ar"/>
              </w:rPr>
              <w:t>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项目效益情况（20分）</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r>
              <w:rPr>
                <w:rFonts w:hint="eastAsia" w:ascii="宋体" w:hAnsi="宋体" w:cs="宋体"/>
                <w:i w:val="0"/>
                <w:iCs w:val="0"/>
                <w:color w:val="000000"/>
                <w:kern w:val="0"/>
                <w:sz w:val="18"/>
                <w:szCs w:val="18"/>
                <w:u w:val="none"/>
                <w:lang w:val="en-US" w:eastAsia="zh-CN" w:bidi="ar"/>
              </w:rPr>
              <w:t>有利建立长效机制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有利</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有利</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r>
              <w:rPr>
                <w:rFonts w:hint="eastAsia" w:ascii="宋体" w:hAnsi="宋体" w:cs="宋体"/>
                <w:i w:val="0"/>
                <w:iCs w:val="0"/>
                <w:color w:val="000000"/>
                <w:kern w:val="0"/>
                <w:sz w:val="18"/>
                <w:szCs w:val="18"/>
                <w:u w:val="none"/>
                <w:lang w:val="en-US" w:eastAsia="zh-CN" w:bidi="ar"/>
              </w:rPr>
              <w:t>促进企业发展</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有利</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有利</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20" w:lineRule="exact"/>
              <w:ind w:right="0" w:rightChars="0"/>
              <w:rPr>
                <w:rFonts w:hint="eastAsia" w:ascii="宋体" w:hAnsi="宋体" w:eastAsia="宋体" w:cs="宋体"/>
                <w:i w:val="0"/>
                <w:iCs w:val="0"/>
                <w:color w:val="000000"/>
                <w:sz w:val="24"/>
                <w:szCs w:val="24"/>
                <w:u w:val="none"/>
              </w:rPr>
            </w:pPr>
          </w:p>
        </w:tc>
      </w:tr>
    </w:tbl>
    <w:p>
      <w:pPr>
        <w:pageBreakBefore w:val="0"/>
        <w:kinsoku/>
        <w:wordWrap/>
        <w:overflowPunct/>
        <w:topLinePunct w:val="0"/>
        <w:autoSpaceDE/>
        <w:autoSpaceDN/>
        <w:bidi w:val="0"/>
        <w:adjustRightInd/>
        <w:snapToGrid/>
        <w:spacing w:line="520" w:lineRule="exact"/>
        <w:ind w:right="0" w:righ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pageBreakBefore w:val="0"/>
        <w:kinsoku/>
        <w:wordWrap/>
        <w:overflowPunct/>
        <w:topLinePunct w:val="0"/>
        <w:autoSpaceDE/>
        <w:autoSpaceDN/>
        <w:bidi w:val="0"/>
        <w:adjustRightInd/>
        <w:snapToGrid/>
        <w:spacing w:line="520" w:lineRule="exact"/>
        <w:ind w:right="0" w:rightChars="0"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（一）项目决策情况</w:t>
      </w:r>
      <w:r>
        <w:rPr>
          <w:rFonts w:hint="eastAsia" w:ascii="楷体_GB2312" w:hAnsi="楷体_GB2312" w:eastAsia="楷体_GB2312" w:cs="楷体_GB2312"/>
          <w:b/>
          <w:bCs/>
          <w:sz w:val="32"/>
          <w:szCs w:val="32"/>
          <w:lang w:val="en-US" w:eastAsia="zh-CN"/>
        </w:rPr>
        <w:t>良好</w:t>
      </w:r>
      <w:r>
        <w:rPr>
          <w:rFonts w:hint="eastAsia" w:ascii="楷体_GB2312" w:hAnsi="楷体_GB2312" w:eastAsia="楷体_GB2312" w:cs="楷体_GB2312"/>
          <w:b/>
          <w:bCs/>
          <w:sz w:val="32"/>
          <w:szCs w:val="32"/>
        </w:rPr>
        <w:t>。</w:t>
      </w:r>
    </w:p>
    <w:p>
      <w:pPr>
        <w:pStyle w:val="6"/>
        <w:pageBreakBefore w:val="0"/>
        <w:kinsoku/>
        <w:wordWrap/>
        <w:overflowPunct/>
        <w:topLinePunct w:val="0"/>
        <w:autoSpaceDE/>
        <w:autoSpaceDN/>
        <w:bidi w:val="0"/>
        <w:adjustRightInd/>
        <w:snapToGrid/>
        <w:spacing w:after="0" w:line="520" w:lineRule="exact"/>
        <w:ind w:right="0" w:right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1.部门申报的项目有进行可行性研究和充分论证，项目绩效目标合理、充分；</w:t>
      </w:r>
    </w:p>
    <w:p>
      <w:pPr>
        <w:pStyle w:val="6"/>
        <w:pageBreakBefore w:val="0"/>
        <w:kinsoku/>
        <w:wordWrap/>
        <w:overflowPunct/>
        <w:topLinePunct w:val="0"/>
        <w:autoSpaceDE/>
        <w:autoSpaceDN/>
        <w:bidi w:val="0"/>
        <w:adjustRightInd/>
        <w:snapToGrid/>
        <w:spacing w:after="0" w:line="520" w:lineRule="exact"/>
        <w:ind w:right="0" w:right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2.项目目标完成率100%；</w:t>
      </w:r>
    </w:p>
    <w:p>
      <w:pPr>
        <w:pStyle w:val="6"/>
        <w:pageBreakBefore w:val="0"/>
        <w:kinsoku/>
        <w:wordWrap/>
        <w:overflowPunct/>
        <w:topLinePunct w:val="0"/>
        <w:autoSpaceDE/>
        <w:autoSpaceDN/>
        <w:bidi w:val="0"/>
        <w:adjustRightInd/>
        <w:snapToGrid/>
        <w:spacing w:after="0" w:line="520" w:lineRule="exact"/>
        <w:ind w:right="0" w:right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3.资金分配合理和细化、功能分类和经济分类准确，预算编制合理；</w:t>
      </w:r>
    </w:p>
    <w:p>
      <w:pPr>
        <w:pStyle w:val="6"/>
        <w:pageBreakBefore w:val="0"/>
        <w:kinsoku/>
        <w:wordWrap/>
        <w:overflowPunct/>
        <w:topLinePunct w:val="0"/>
        <w:autoSpaceDE/>
        <w:autoSpaceDN/>
        <w:bidi w:val="0"/>
        <w:adjustRightInd/>
        <w:snapToGrid/>
        <w:spacing w:after="0" w:line="520" w:lineRule="exact"/>
        <w:ind w:right="0" w:rightChars="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4.预算编制、分配符合本部门职责、符合市委市政府方针政策和工作要求预算编制合规。</w:t>
      </w:r>
    </w:p>
    <w:p>
      <w:pPr>
        <w:pageBreakBefore w:val="0"/>
        <w:numPr>
          <w:ilvl w:val="0"/>
          <w:numId w:val="5"/>
        </w:numPr>
        <w:kinsoku/>
        <w:wordWrap/>
        <w:overflowPunct/>
        <w:topLinePunct w:val="0"/>
        <w:autoSpaceDE/>
        <w:autoSpaceDN/>
        <w:bidi w:val="0"/>
        <w:adjustRightInd/>
        <w:snapToGrid/>
        <w:spacing w:line="520" w:lineRule="exact"/>
        <w:ind w:right="0" w:rightChars="0"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项目过程情况。</w:t>
      </w:r>
    </w:p>
    <w:p>
      <w:pPr>
        <w:pStyle w:val="6"/>
        <w:pageBreakBefore w:val="0"/>
        <w:kinsoku/>
        <w:wordWrap/>
        <w:overflowPunct/>
        <w:topLinePunct w:val="0"/>
        <w:autoSpaceDE/>
        <w:autoSpaceDN/>
        <w:bidi w:val="0"/>
        <w:adjustRightInd/>
        <w:snapToGrid/>
        <w:spacing w:after="0" w:line="520" w:lineRule="exact"/>
        <w:ind w:right="0" w:rightChars="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1.项目项目实施程序合规，项目实施过程符合申报条件。</w:t>
      </w:r>
    </w:p>
    <w:p>
      <w:pPr>
        <w:pStyle w:val="6"/>
        <w:pageBreakBefore w:val="0"/>
        <w:kinsoku/>
        <w:wordWrap/>
        <w:overflowPunct/>
        <w:topLinePunct w:val="0"/>
        <w:autoSpaceDE/>
        <w:autoSpaceDN/>
        <w:bidi w:val="0"/>
        <w:adjustRightInd/>
        <w:snapToGrid/>
        <w:spacing w:after="0" w:line="520" w:lineRule="exact"/>
        <w:ind w:right="0" w:right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w:t>
      </w:r>
      <w:r>
        <w:rPr>
          <w:rFonts w:hint="default" w:ascii="仿宋" w:hAnsi="仿宋" w:eastAsia="仿宋" w:cs="Times New Roman"/>
          <w:kern w:val="2"/>
          <w:sz w:val="32"/>
          <w:szCs w:val="32"/>
          <w:lang w:val="en-US" w:eastAsia="zh-CN" w:bidi="ar-SA"/>
        </w:rPr>
        <w:t>项目监管到位性</w:t>
      </w:r>
      <w:r>
        <w:rPr>
          <w:rFonts w:hint="eastAsia" w:ascii="仿宋" w:hAnsi="仿宋" w:eastAsia="仿宋" w:cs="Times New Roman"/>
          <w:kern w:val="2"/>
          <w:sz w:val="32"/>
          <w:szCs w:val="32"/>
          <w:lang w:val="en-US" w:eastAsia="zh-CN" w:bidi="ar-SA"/>
        </w:rPr>
        <w:t>，对所实施项目监控、督促、管理等情况良好。</w:t>
      </w:r>
    </w:p>
    <w:p>
      <w:pPr>
        <w:pStyle w:val="6"/>
        <w:pageBreakBefore w:val="0"/>
        <w:numPr>
          <w:ilvl w:val="0"/>
          <w:numId w:val="0"/>
        </w:numPr>
        <w:kinsoku/>
        <w:wordWrap/>
        <w:overflowPunct/>
        <w:topLinePunct w:val="0"/>
        <w:autoSpaceDE/>
        <w:autoSpaceDN/>
        <w:bidi w:val="0"/>
        <w:adjustRightInd/>
        <w:snapToGrid/>
        <w:spacing w:after="0" w:line="520" w:lineRule="exact"/>
        <w:ind w:leftChars="500" w:right="0" w:rightChars="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w:t>
      </w:r>
      <w:r>
        <w:rPr>
          <w:rFonts w:hint="default" w:ascii="仿宋" w:hAnsi="仿宋" w:eastAsia="仿宋" w:cs="Times New Roman"/>
          <w:kern w:val="2"/>
          <w:sz w:val="32"/>
          <w:szCs w:val="32"/>
          <w:lang w:val="en-US" w:eastAsia="zh-CN" w:bidi="ar-SA"/>
        </w:rPr>
        <w:t>预算资金支出率</w:t>
      </w:r>
      <w:r>
        <w:rPr>
          <w:rFonts w:hint="eastAsia" w:ascii="仿宋" w:hAnsi="仿宋" w:eastAsia="仿宋" w:cs="Times New Roman"/>
          <w:kern w:val="2"/>
          <w:sz w:val="32"/>
          <w:szCs w:val="32"/>
          <w:lang w:val="en-US" w:eastAsia="zh-CN" w:bidi="ar-SA"/>
        </w:rPr>
        <w:t>为100%；</w:t>
      </w:r>
    </w:p>
    <w:p>
      <w:pPr>
        <w:pStyle w:val="6"/>
        <w:pageBreakBefore w:val="0"/>
        <w:numPr>
          <w:ilvl w:val="0"/>
          <w:numId w:val="0"/>
        </w:numPr>
        <w:kinsoku/>
        <w:wordWrap/>
        <w:overflowPunct/>
        <w:topLinePunct w:val="0"/>
        <w:autoSpaceDE/>
        <w:autoSpaceDN/>
        <w:bidi w:val="0"/>
        <w:adjustRightInd/>
        <w:snapToGrid/>
        <w:spacing w:after="0" w:line="520" w:lineRule="exact"/>
        <w:ind w:leftChars="500" w:right="0" w:rightChars="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w:t>
      </w:r>
      <w:r>
        <w:rPr>
          <w:rFonts w:hint="default" w:ascii="仿宋" w:hAnsi="仿宋" w:eastAsia="仿宋" w:cs="Times New Roman"/>
          <w:kern w:val="2"/>
          <w:sz w:val="32"/>
          <w:szCs w:val="32"/>
          <w:lang w:val="en-US" w:eastAsia="zh-CN" w:bidi="ar-SA"/>
        </w:rPr>
        <w:t>预算资金到位率</w:t>
      </w:r>
      <w:r>
        <w:rPr>
          <w:rFonts w:hint="eastAsia" w:ascii="仿宋" w:hAnsi="仿宋" w:eastAsia="仿宋" w:cs="Times New Roman"/>
          <w:kern w:val="2"/>
          <w:sz w:val="32"/>
          <w:szCs w:val="32"/>
          <w:lang w:val="en-US" w:eastAsia="zh-CN" w:bidi="ar-SA"/>
        </w:rPr>
        <w:t>为100%。</w:t>
      </w:r>
    </w:p>
    <w:p>
      <w:pPr>
        <w:pageBreakBefore w:val="0"/>
        <w:numPr>
          <w:ilvl w:val="0"/>
          <w:numId w:val="5"/>
        </w:numPr>
        <w:kinsoku/>
        <w:wordWrap/>
        <w:overflowPunct/>
        <w:topLinePunct w:val="0"/>
        <w:autoSpaceDE/>
        <w:autoSpaceDN/>
        <w:bidi w:val="0"/>
        <w:adjustRightInd/>
        <w:snapToGrid/>
        <w:spacing w:line="520" w:lineRule="exact"/>
        <w:ind w:left="0" w:leftChars="0" w:right="0" w:rightChars="0"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项目产出情况。</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1.数量指标</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firstLine="320" w:firstLineChars="100"/>
        <w:rPr>
          <w:rFonts w:hint="default" w:ascii="仿宋" w:hAnsi="仿宋" w:eastAsia="仿宋"/>
          <w:sz w:val="32"/>
          <w:szCs w:val="32"/>
          <w:lang w:val="en-US" w:eastAsia="zh-CN"/>
        </w:rPr>
      </w:pPr>
      <w:r>
        <w:rPr>
          <w:rFonts w:hint="eastAsia" w:ascii="仿宋" w:hAnsi="仿宋" w:eastAsia="仿宋"/>
          <w:sz w:val="32"/>
          <w:szCs w:val="32"/>
          <w:lang w:val="en-US" w:eastAsia="zh-CN"/>
        </w:rPr>
        <w:t>拨付资金企业1家，拨付资金16500万元。</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2.质量指标</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解决企业经营困境，促进企业发展。</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3.时效指标</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firstLine="320" w:firstLineChars="100"/>
        <w:rPr>
          <w:rFonts w:hint="default" w:ascii="仿宋" w:hAnsi="仿宋" w:eastAsia="仿宋"/>
          <w:sz w:val="32"/>
          <w:szCs w:val="32"/>
          <w:lang w:val="en-US" w:eastAsia="zh-CN"/>
        </w:rPr>
      </w:pPr>
      <w:r>
        <w:rPr>
          <w:rFonts w:hint="eastAsia" w:ascii="仿宋" w:hAnsi="仿宋" w:eastAsia="仿宋"/>
          <w:sz w:val="32"/>
          <w:szCs w:val="32"/>
          <w:lang w:val="en-US" w:eastAsia="zh-CN"/>
        </w:rPr>
        <w:t>资金拨付及时，年初设定目标按时完成。</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4.成本指标</w:t>
      </w:r>
    </w:p>
    <w:p>
      <w:pPr>
        <w:pStyle w:val="6"/>
        <w:pageBreakBefore w:val="0"/>
        <w:numPr>
          <w:ilvl w:val="0"/>
          <w:numId w:val="0"/>
        </w:numPr>
        <w:kinsoku/>
        <w:wordWrap/>
        <w:overflowPunct/>
        <w:topLinePunct w:val="0"/>
        <w:autoSpaceDE/>
        <w:autoSpaceDN/>
        <w:bidi w:val="0"/>
        <w:adjustRightInd/>
        <w:snapToGrid/>
        <w:spacing w:after="0" w:line="520" w:lineRule="exact"/>
        <w:ind w:leftChars="400" w:right="0" w:rightChars="0" w:firstLine="320" w:firstLineChars="100"/>
        <w:rPr>
          <w:rFonts w:hint="default" w:ascii="仿宋" w:hAnsi="仿宋" w:eastAsia="仿宋"/>
          <w:sz w:val="32"/>
          <w:szCs w:val="32"/>
          <w:lang w:val="en-US" w:eastAsia="zh-CN"/>
        </w:rPr>
      </w:pPr>
      <w:r>
        <w:rPr>
          <w:rFonts w:hint="eastAsia" w:ascii="仿宋" w:hAnsi="仿宋" w:eastAsia="仿宋"/>
          <w:sz w:val="32"/>
          <w:szCs w:val="32"/>
          <w:lang w:val="en-US" w:eastAsia="zh-CN"/>
        </w:rPr>
        <w:t>拨付资金16500万元。</w:t>
      </w:r>
    </w:p>
    <w:p>
      <w:pPr>
        <w:pageBreakBefore w:val="0"/>
        <w:numPr>
          <w:ilvl w:val="0"/>
          <w:numId w:val="0"/>
        </w:numPr>
        <w:kinsoku/>
        <w:wordWrap/>
        <w:overflowPunct/>
        <w:topLinePunct w:val="0"/>
        <w:autoSpaceDE/>
        <w:autoSpaceDN/>
        <w:bidi w:val="0"/>
        <w:adjustRightInd/>
        <w:snapToGrid/>
        <w:spacing w:line="520" w:lineRule="exact"/>
        <w:ind w:leftChars="200" w:right="0" w:rightChars="0"/>
        <w:outlineLvl w:val="0"/>
        <w:rPr>
          <w:rFonts w:hint="eastAsia" w:ascii="仿宋" w:hAnsi="仿宋" w:eastAsia="仿宋"/>
          <w:sz w:val="32"/>
          <w:szCs w:val="32"/>
          <w:lang w:val="en-US" w:eastAsia="zh-CN"/>
        </w:rPr>
      </w:pPr>
      <w:r>
        <w:rPr>
          <w:rFonts w:hint="eastAsia" w:ascii="楷体_GB2312" w:hAnsi="楷体_GB2312" w:eastAsia="楷体_GB2312" w:cs="楷体_GB2312"/>
          <w:b/>
          <w:bCs/>
          <w:sz w:val="32"/>
          <w:szCs w:val="32"/>
          <w:lang w:val="en-US" w:eastAsia="zh-CN"/>
        </w:rPr>
        <w:t xml:space="preserve"> （四）</w:t>
      </w:r>
      <w:r>
        <w:rPr>
          <w:rFonts w:hint="eastAsia" w:ascii="楷体_GB2312" w:hAnsi="楷体_GB2312" w:eastAsia="楷体_GB2312" w:cs="楷体_GB2312"/>
          <w:b/>
          <w:bCs/>
          <w:sz w:val="32"/>
          <w:szCs w:val="32"/>
        </w:rPr>
        <w:t>项目效益情况。</w:t>
      </w:r>
    </w:p>
    <w:p>
      <w:pPr>
        <w:pageBreakBefore w:val="0"/>
        <w:numPr>
          <w:ilvl w:val="0"/>
          <w:numId w:val="0"/>
        </w:numPr>
        <w:kinsoku/>
        <w:wordWrap/>
        <w:overflowPunct/>
        <w:topLinePunct w:val="0"/>
        <w:autoSpaceDE/>
        <w:autoSpaceDN/>
        <w:bidi w:val="0"/>
        <w:adjustRightInd/>
        <w:snapToGrid/>
        <w:spacing w:line="520" w:lineRule="exact"/>
        <w:ind w:leftChars="400" w:right="0" w:rightChars="0"/>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1.经济效益指标，解决企业经营困境。</w:t>
      </w:r>
    </w:p>
    <w:p>
      <w:pPr>
        <w:pageBreakBefore w:val="0"/>
        <w:numPr>
          <w:ilvl w:val="0"/>
          <w:numId w:val="0"/>
        </w:numPr>
        <w:kinsoku/>
        <w:wordWrap/>
        <w:overflowPunct/>
        <w:topLinePunct w:val="0"/>
        <w:autoSpaceDE/>
        <w:autoSpaceDN/>
        <w:bidi w:val="0"/>
        <w:adjustRightInd/>
        <w:snapToGrid/>
        <w:spacing w:line="520" w:lineRule="exact"/>
        <w:ind w:leftChars="400" w:right="0" w:rightChars="0"/>
        <w:outlineLvl w:val="0"/>
        <w:rPr>
          <w:rFonts w:hint="default" w:ascii="仿宋" w:hAnsi="仿宋" w:eastAsia="仿宋" w:cs="Times New Roman"/>
          <w:kern w:val="2"/>
          <w:sz w:val="32"/>
          <w:szCs w:val="32"/>
          <w:lang w:val="en-US" w:eastAsia="zh-CN" w:bidi="ar-SA"/>
        </w:rPr>
      </w:pPr>
      <w:r>
        <w:rPr>
          <w:rFonts w:hint="eastAsia" w:ascii="仿宋" w:hAnsi="仿宋" w:eastAsia="仿宋"/>
          <w:sz w:val="32"/>
          <w:szCs w:val="32"/>
          <w:lang w:val="en-US" w:eastAsia="zh-CN"/>
        </w:rPr>
        <w:t xml:space="preserve"> 2.社会效益指标，促进企业发展</w:t>
      </w:r>
      <w:r>
        <w:rPr>
          <w:rFonts w:hint="eastAsia" w:ascii="仿宋" w:hAnsi="仿宋" w:eastAsia="仿宋" w:cs="Times New Roman"/>
          <w:kern w:val="2"/>
          <w:sz w:val="32"/>
          <w:szCs w:val="32"/>
          <w:lang w:val="en-US" w:eastAsia="zh-CN" w:bidi="ar-SA"/>
        </w:rPr>
        <w:t>。</w:t>
      </w:r>
    </w:p>
    <w:p>
      <w:pPr>
        <w:pageBreakBefore w:val="0"/>
        <w:numPr>
          <w:ilvl w:val="0"/>
          <w:numId w:val="6"/>
        </w:numPr>
        <w:kinsoku/>
        <w:wordWrap/>
        <w:overflowPunct/>
        <w:topLinePunct w:val="0"/>
        <w:autoSpaceDE/>
        <w:autoSpaceDN/>
        <w:bidi w:val="0"/>
        <w:adjustRightInd/>
        <w:snapToGrid/>
        <w:spacing w:line="520" w:lineRule="exact"/>
        <w:ind w:right="0" w:righ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主要经验及做法、存在的问题及原因分析</w:t>
      </w:r>
    </w:p>
    <w:p>
      <w:pPr>
        <w:pStyle w:val="6"/>
        <w:pageBreakBefore w:val="0"/>
        <w:numPr>
          <w:ilvl w:val="0"/>
          <w:numId w:val="0"/>
        </w:numPr>
        <w:kinsoku/>
        <w:wordWrap/>
        <w:overflowPunct/>
        <w:topLinePunct w:val="0"/>
        <w:autoSpaceDE/>
        <w:autoSpaceDN/>
        <w:bidi w:val="0"/>
        <w:adjustRightInd/>
        <w:snapToGrid/>
        <w:spacing w:after="0" w:line="520" w:lineRule="exact"/>
        <w:ind w:right="0" w:rightChars="0" w:firstLine="960" w:firstLineChars="3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绩效目标完成率为100%。</w:t>
      </w:r>
    </w:p>
    <w:p>
      <w:pPr>
        <w:pageBreakBefore w:val="0"/>
        <w:numPr>
          <w:ilvl w:val="0"/>
          <w:numId w:val="6"/>
        </w:numPr>
        <w:kinsoku/>
        <w:wordWrap/>
        <w:overflowPunct/>
        <w:topLinePunct w:val="0"/>
        <w:autoSpaceDE/>
        <w:autoSpaceDN/>
        <w:bidi w:val="0"/>
        <w:adjustRightInd/>
        <w:snapToGrid/>
        <w:spacing w:line="520" w:lineRule="exact"/>
        <w:ind w:left="0" w:leftChars="0" w:right="0" w:righ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有关建议</w:t>
      </w:r>
    </w:p>
    <w:p>
      <w:pPr>
        <w:pStyle w:val="6"/>
        <w:pageBreakBefore w:val="0"/>
        <w:numPr>
          <w:ilvl w:val="0"/>
          <w:numId w:val="0"/>
        </w:numPr>
        <w:kinsoku/>
        <w:wordWrap/>
        <w:overflowPunct/>
        <w:topLinePunct w:val="0"/>
        <w:autoSpaceDE/>
        <w:autoSpaceDN/>
        <w:bidi w:val="0"/>
        <w:adjustRightInd/>
        <w:snapToGrid/>
        <w:spacing w:after="0" w:line="520" w:lineRule="exact"/>
        <w:ind w:right="0" w:rightChars="0" w:firstLine="960" w:firstLineChars="3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无。</w:t>
      </w:r>
    </w:p>
    <w:p>
      <w:pPr>
        <w:pStyle w:val="6"/>
        <w:pageBreakBefore w:val="0"/>
        <w:numPr>
          <w:ilvl w:val="0"/>
          <w:numId w:val="0"/>
        </w:numPr>
        <w:kinsoku/>
        <w:wordWrap/>
        <w:overflowPunct/>
        <w:topLinePunct w:val="0"/>
        <w:autoSpaceDE/>
        <w:autoSpaceDN/>
        <w:bidi w:val="0"/>
        <w:adjustRightInd/>
        <w:snapToGrid/>
        <w:spacing w:after="0" w:line="520" w:lineRule="exact"/>
        <w:ind w:right="0" w:rightChars="0" w:firstLine="640" w:firstLineChars="200"/>
        <w:rPr>
          <w:rFonts w:hint="eastAsia" w:ascii="仿宋" w:hAnsi="仿宋" w:eastAsia="仿宋" w:cs="Times New Roman"/>
          <w:b/>
          <w:bCs/>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p>
    <w:p>
      <w:pPr>
        <w:pageBreakBefore w:val="0"/>
        <w:kinsoku/>
        <w:wordWrap/>
        <w:overflowPunct/>
        <w:topLinePunct w:val="0"/>
        <w:autoSpaceDE/>
        <w:autoSpaceDN/>
        <w:bidi w:val="0"/>
        <w:adjustRightInd/>
        <w:snapToGrid/>
        <w:spacing w:line="520" w:lineRule="exact"/>
        <w:ind w:right="0" w:rightChars="0"/>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仿宋" w:hAnsi="仿宋" w:eastAsia="仿宋" w:cs="Times New Roman"/>
          <w:kern w:val="2"/>
          <w:sz w:val="32"/>
          <w:szCs w:val="32"/>
          <w:lang w:val="en-US" w:eastAsia="zh-CN" w:bidi="ar-SA"/>
        </w:rPr>
        <w:t>无。</w:t>
      </w:r>
    </w:p>
    <w:p>
      <w:pPr>
        <w:pageBreakBefore w:val="0"/>
        <w:kinsoku/>
        <w:wordWrap/>
        <w:overflowPunct/>
        <w:topLinePunct w:val="0"/>
        <w:autoSpaceDE/>
        <w:autoSpaceDN/>
        <w:bidi w:val="0"/>
        <w:adjustRightInd/>
        <w:snapToGrid/>
        <w:spacing w:line="520" w:lineRule="exact"/>
        <w:ind w:right="0" w:rightChars="0"/>
        <w:jc w:val="right"/>
        <w:rPr>
          <w:rFonts w:hint="eastAsia" w:ascii="仿宋" w:hAnsi="仿宋" w:eastAsia="仿宋" w:cs="Times New Roman"/>
          <w:kern w:val="2"/>
          <w:sz w:val="32"/>
          <w:szCs w:val="32"/>
          <w:lang w:val="en-US" w:eastAsia="zh-CN" w:bidi="ar-SA"/>
        </w:rPr>
      </w:pPr>
      <w:bookmarkStart w:id="0" w:name="_GoBack"/>
      <w:bookmarkEnd w:id="0"/>
      <w:r>
        <w:rPr>
          <w:rFonts w:hint="eastAsia" w:ascii="仿宋" w:hAnsi="仿宋" w:eastAsia="仿宋" w:cs="Times New Roman"/>
          <w:kern w:val="2"/>
          <w:sz w:val="32"/>
          <w:szCs w:val="32"/>
          <w:lang w:val="en-US" w:eastAsia="zh-CN" w:bidi="ar-SA"/>
        </w:rPr>
        <w:t>昌都市政府国资委</w:t>
      </w:r>
    </w:p>
    <w:p>
      <w:pPr>
        <w:pStyle w:val="2"/>
        <w:pageBreakBefore w:val="0"/>
        <w:kinsoku/>
        <w:wordWrap/>
        <w:overflowPunct/>
        <w:topLinePunct w:val="0"/>
        <w:autoSpaceDE/>
        <w:autoSpaceDN/>
        <w:bidi w:val="0"/>
        <w:adjustRightInd/>
        <w:snapToGrid/>
        <w:spacing w:line="520" w:lineRule="exact"/>
        <w:ind w:right="0" w:rightChars="0"/>
        <w:jc w:val="right"/>
        <w:rPr>
          <w:rFonts w:hint="default"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2024年3月13日</w:t>
      </w:r>
    </w:p>
    <w:p>
      <w:pPr>
        <w:pageBreakBefore w:val="0"/>
        <w:kinsoku/>
        <w:wordWrap/>
        <w:overflowPunct/>
        <w:topLinePunct w:val="0"/>
        <w:autoSpaceDE/>
        <w:autoSpaceDN/>
        <w:bidi w:val="0"/>
        <w:adjustRightInd/>
        <w:snapToGrid/>
        <w:spacing w:line="520" w:lineRule="exact"/>
        <w:ind w:right="0" w:right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95016"/>
    <w:multiLevelType w:val="singleLevel"/>
    <w:tmpl w:val="A7A95016"/>
    <w:lvl w:ilvl="0" w:tentative="0">
      <w:start w:val="2"/>
      <w:numFmt w:val="chineseCounting"/>
      <w:suff w:val="nothing"/>
      <w:lvlText w:val="（%1）"/>
      <w:lvlJc w:val="left"/>
      <w:rPr>
        <w:rFonts w:hint="eastAsia"/>
      </w:rPr>
    </w:lvl>
  </w:abstractNum>
  <w:abstractNum w:abstractNumId="1">
    <w:nsid w:val="C553187E"/>
    <w:multiLevelType w:val="singleLevel"/>
    <w:tmpl w:val="C553187E"/>
    <w:lvl w:ilvl="0" w:tentative="0">
      <w:start w:val="5"/>
      <w:numFmt w:val="chineseCounting"/>
      <w:suff w:val="nothing"/>
      <w:lvlText w:val="%1、"/>
      <w:lvlJc w:val="left"/>
      <w:rPr>
        <w:rFonts w:hint="eastAsia"/>
      </w:rPr>
    </w:lvl>
  </w:abstractNum>
  <w:abstractNum w:abstractNumId="2">
    <w:nsid w:val="D8C45483"/>
    <w:multiLevelType w:val="singleLevel"/>
    <w:tmpl w:val="D8C45483"/>
    <w:lvl w:ilvl="0" w:tentative="0">
      <w:start w:val="9"/>
      <w:numFmt w:val="decimal"/>
      <w:suff w:val="nothing"/>
      <w:lvlText w:val="（%1）"/>
      <w:lvlJc w:val="left"/>
      <w:pPr>
        <w:ind w:left="-10"/>
      </w:pPr>
    </w:lvl>
  </w:abstractNum>
  <w:abstractNum w:abstractNumId="3">
    <w:nsid w:val="E6301D3C"/>
    <w:multiLevelType w:val="singleLevel"/>
    <w:tmpl w:val="E6301D3C"/>
    <w:lvl w:ilvl="0" w:tentative="0">
      <w:start w:val="2"/>
      <w:numFmt w:val="chineseCounting"/>
      <w:suff w:val="nothing"/>
      <w:lvlText w:val="（%1）"/>
      <w:lvlJc w:val="left"/>
      <w:rPr>
        <w:rFonts w:hint="eastAsia"/>
      </w:rPr>
    </w:lvl>
  </w:abstractNum>
  <w:abstractNum w:abstractNumId="4">
    <w:nsid w:val="628DFDA4"/>
    <w:multiLevelType w:val="singleLevel"/>
    <w:tmpl w:val="628DFDA4"/>
    <w:lvl w:ilvl="0" w:tentative="0">
      <w:start w:val="2"/>
      <w:numFmt w:val="decimal"/>
      <w:suff w:val="nothing"/>
      <w:lvlText w:val="%1."/>
      <w:lvlJc w:val="left"/>
    </w:lvl>
  </w:abstractNum>
  <w:abstractNum w:abstractNumId="5">
    <w:nsid w:val="628ED9AF"/>
    <w:multiLevelType w:val="singleLevel"/>
    <w:tmpl w:val="628ED9AF"/>
    <w:lvl w:ilvl="0" w:tentative="0">
      <w:start w:val="2"/>
      <w:numFmt w:val="decimal"/>
      <w:suff w:val="nothing"/>
      <w:lvlText w:val="（%1）"/>
      <w:lvlJc w:val="left"/>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OWYxOTE3YmVlOGI5ZTFjMDZjNGQ5MDdmY2U4ODcifQ=="/>
  </w:docVars>
  <w:rsids>
    <w:rsidRoot w:val="00000000"/>
    <w:rsid w:val="13A929D1"/>
    <w:rsid w:val="14210808"/>
    <w:rsid w:val="1B630182"/>
    <w:rsid w:val="2B635AFD"/>
    <w:rsid w:val="33084251"/>
    <w:rsid w:val="378E4F6A"/>
    <w:rsid w:val="56D253C3"/>
    <w:rsid w:val="693E2B3B"/>
    <w:rsid w:val="71087572"/>
    <w:rsid w:val="7B965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200" w:firstLineChars="200"/>
    </w:pPr>
  </w:style>
  <w:style w:type="character" w:customStyle="1" w:styleId="9">
    <w:name w:val="font11"/>
    <w:basedOn w:val="8"/>
    <w:qFormat/>
    <w:uiPriority w:val="0"/>
    <w:rPr>
      <w:rFonts w:hint="eastAsia" w:ascii="宋体" w:hAnsi="宋体" w:eastAsia="宋体" w:cs="宋体"/>
      <w:color w:val="000000"/>
      <w:sz w:val="18"/>
      <w:szCs w:val="18"/>
      <w:u w:val="none"/>
    </w:rPr>
  </w:style>
  <w:style w:type="character" w:customStyle="1" w:styleId="10">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3967</Words>
  <Characters>4179</Characters>
  <Lines>0</Lines>
  <Paragraphs>0</Paragraphs>
  <TotalTime>1</TotalTime>
  <ScaleCrop>false</ScaleCrop>
  <LinksUpToDate>false</LinksUpToDate>
  <CharactersWithSpaces>4233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2022-05-24T08:23:00Z</dcterms:created>
  <dc:creator>Administrator</dc:creator>
  <cp:lastModifiedBy>Administrator</cp:lastModifiedBy>
  <cp:lastPrinted>2023-03-23T01:32:00Z</cp:lastPrinted>
  <dcterms:modified xsi:type="dcterms:W3CDTF">2024-03-13T08:54:22Z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3781AE4DEE3B48AEA9500D179A7C83D3_12</vt:lpwstr>
  </property>
</Properties>
</file>